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</w:rPr>
        <w:t>附件3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center"/>
        <w:textAlignment w:val="baseline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  <w:t>湖州学院设计学院实验室安全责任书</w:t>
      </w:r>
    </w:p>
    <w:bookmarkEnd w:id="0"/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为了保障教学、科研工作的顺利进行，加强实验室消防、安全工作，预防和减少事故发生，确保实验室安全，保护师生人身和公共财产的安全，根据《中华人民共和国消防法》、《国务院关于特大安全事故行政责任追究的规定》，结合学校实验室的实际情况，特签订本责任书。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1、认真学习有关安全方面的知识，增强安全意识，做好防火、防盗、防水、防电、防毒、防爆、防漏等“七防”工作。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2、严禁在实验室内吃东西、喝水，严禁在实验室及楼道内吸烟、焚烧其它物品，发现火险隐患及时报告处理，发现火灾主动扑救，及时报警（119）。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3、使用化学试剂必须按照有关操作规程进行，气瓶使用严格按照操作规程进行，做好防毒、防爆、防漏等工作。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4、实验室内不能存放与实验室无关的物品，防止爆炸事故或误食事故的发生。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5、树立安全、节约用电的思想。仪器设备使用必须按照相关操作规程进行，配电装置有故障应请物业维修人员进行维修，不得擅自乱改线路和乱接电线，严禁多台仪器设备使用同一电源插座，严禁超负荷用电。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6、必须注意保持实验室的卫生，离开实验室前应打扫干净，及时清理废纸等杂物。纯净水不得用作清洗等非实验用水。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7、离开实验室时，要坚持做好“四关一锁”（关电、关水、关气、关灯、锁好门窗）工作。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8、爱护实验室设施，使用实验室台面时，按照提示标签的要求。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9、由于个人疏忽或故意造成事故发生，责任人必须承担全部责任。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本责任书一式三份，实验室责任人、实验室借用人、借用部门负责人各持一份，自签订之日起生效。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 xml:space="preserve">实验室负责人签字： 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实验室借用人签字：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借用部门负责人签字：</w:t>
      </w:r>
    </w:p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ascii="仿宋_GB2312" w:hAnsi="仿宋_GB2312" w:eastAsia="仿宋_GB2312" w:cs="仿宋_GB2312"/>
          <w:color w:val="000000"/>
          <w:sz w:val="23"/>
          <w:szCs w:val="23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3"/>
          <w:szCs w:val="23"/>
          <w:lang w:bidi="ar"/>
        </w:rPr>
        <w:t>签订日期：</w:t>
      </w:r>
    </w:p>
    <w:p>
      <w:pPr>
        <w:pStyle w:val="2"/>
        <w:widowControl/>
        <w:spacing w:before="210" w:beforeAutospacing="0" w:afterAutospacing="0" w:line="270" w:lineRule="atLeast"/>
        <w:ind w:firstLine="420"/>
        <w:jc w:val="center"/>
        <w:textAlignment w:val="baseline"/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DB9D1"/>
    <w:rsid w:val="79FDB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2023-12-20T16:41:00Z</dcterms:created>
  <dc:creator>MW</dc:creator>
  <cp:lastModifiedBy>MW</cp:lastModifiedBy>
  <dcterms:modified xsi:type="dcterms:W3CDTF">2023-12-20T16:41:22Z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A8D391F4986FE576A6A88265E05FB92D</vt:lpwstr>
  </property>
</Properties>
</file>